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56C6EF4" w14:textId="53FBE7D3" w:rsidR="0022631D" w:rsidRDefault="00FD0FEA" w:rsidP="0035420B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332ABE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332ABE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332ABE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332ABE">
        <w:rPr>
          <w:rFonts w:ascii="GHEA Grapalat" w:hAnsi="GHEA Grapalat"/>
          <w:sz w:val="18"/>
          <w:szCs w:val="18"/>
          <w:lang w:val="hy-AM"/>
        </w:rPr>
        <w:t>15 փ. 2 փակուղի 6 շ.</w:t>
      </w:r>
      <w:r w:rsidR="0022631D" w:rsidRPr="00332ABE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332ABE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1D3B9E" w:rsidRPr="001D3B9E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մասնակցային բյուջետավորմամբ</w:t>
      </w:r>
      <w:r w:rsidR="001D3B9E" w:rsidRPr="001D3B9E">
        <w:rPr>
          <w:rFonts w:ascii="GHEA Grapalat" w:hAnsi="GHEA Grapalat" w:cs="Sylfaen"/>
          <w:b/>
          <w:i/>
          <w:color w:val="0070C0"/>
          <w:sz w:val="20"/>
          <w:szCs w:val="18"/>
          <w:lang w:val="hy-AM"/>
        </w:rPr>
        <w:t xml:space="preserve">  </w:t>
      </w:r>
      <w:r w:rsidR="00695741" w:rsidRPr="001D3B9E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564AA4" w:rsidRPr="001D3B9E">
        <w:rPr>
          <w:rFonts w:ascii="GHEA Grapalat" w:hAnsi="GHEA Grapalat"/>
          <w:b/>
          <w:bCs/>
          <w:i/>
          <w:sz w:val="18"/>
          <w:szCs w:val="18"/>
          <w:lang w:val="hy-AM"/>
        </w:rPr>
        <w:t>սուբվենցիոն ծրագրով իրականացվող շինարարական աշխատանքներ</w:t>
      </w:r>
      <w:r w:rsidR="00564AA4" w:rsidRPr="001D3B9E">
        <w:rPr>
          <w:rFonts w:ascii="GHEA Grapalat" w:hAnsi="GHEA Grapalat"/>
          <w:b/>
          <w:bCs/>
          <w:i/>
          <w:sz w:val="18"/>
          <w:szCs w:val="18"/>
          <w:lang w:val="ru-RU"/>
        </w:rPr>
        <w:t>ի</w:t>
      </w:r>
      <w:r w:rsidR="00564AA4" w:rsidRPr="001D3B9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 </w:t>
      </w:r>
      <w:r w:rsidR="00514A67" w:rsidRPr="00332ABE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C66675" w:rsidRPr="00332ABE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695741" w:rsidRPr="00332A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64AA4" w:rsidRPr="00332ABE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861D0B" w:rsidRPr="00117549">
        <w:rPr>
          <w:rFonts w:ascii="GHEA Grapalat" w:hAnsi="GHEA Grapalat"/>
          <w:sz w:val="18"/>
          <w:szCs w:val="18"/>
          <w:lang w:val="af-ZA"/>
        </w:rPr>
        <w:t>8</w:t>
      </w:r>
      <w:r w:rsidR="00564AA4" w:rsidRPr="00332ABE">
        <w:rPr>
          <w:rFonts w:ascii="GHEA Grapalat" w:hAnsi="GHEA Grapalat"/>
          <w:sz w:val="18"/>
          <w:szCs w:val="18"/>
          <w:lang w:val="hy-AM"/>
        </w:rPr>
        <w:t>/25&gt;</w:t>
      </w:r>
      <w:r w:rsidR="0022631D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332ABE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9592892" w14:textId="77777777" w:rsidR="001D3B9E" w:rsidRPr="0035420B" w:rsidRDefault="001D3B9E" w:rsidP="0035420B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18"/>
        <w:gridCol w:w="72"/>
        <w:gridCol w:w="920"/>
        <w:gridCol w:w="437"/>
        <w:gridCol w:w="254"/>
        <w:gridCol w:w="18"/>
        <w:gridCol w:w="142"/>
        <w:gridCol w:w="48"/>
        <w:gridCol w:w="603"/>
        <w:gridCol w:w="8"/>
        <w:gridCol w:w="475"/>
        <w:gridCol w:w="567"/>
        <w:gridCol w:w="153"/>
        <w:gridCol w:w="600"/>
        <w:gridCol w:w="523"/>
        <w:gridCol w:w="22"/>
        <w:gridCol w:w="732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9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332AB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64D10A9" w14:textId="2DB31501" w:rsidR="0022631D" w:rsidRPr="00A81CC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խահաշվային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332AB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AE1A94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17549" w:rsidRPr="00861D0B" w14:paraId="68F06124" w14:textId="77777777" w:rsidTr="00AE1A94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117549" w:rsidRPr="003743E8" w:rsidRDefault="00117549" w:rsidP="0011754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</w:pPr>
            <w:r w:rsidRPr="003743E8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12E40090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3743E8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&lt;&lt;</w:t>
            </w:r>
            <w:r w:rsidRPr="003743E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ՀՀ Վայոց ձորի մարզի Արենի համայնքի Արփի բնակավայրում խաղահրապարակ-զբոսայգու կառուց</w:t>
            </w:r>
            <w:proofErr w:type="spellStart"/>
            <w:r w:rsidRPr="003743E8">
              <w:rPr>
                <w:rFonts w:ascii="GHEA Grapalat" w:hAnsi="GHEA Grapalat"/>
                <w:bCs/>
                <w:iCs/>
                <w:sz w:val="18"/>
                <w:szCs w:val="18"/>
                <w:lang w:val="ru-RU"/>
              </w:rPr>
              <w:t>ման</w:t>
            </w:r>
            <w:proofErr w:type="spellEnd"/>
            <w:r w:rsidRPr="003743E8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&gt;&gt;</w:t>
            </w:r>
            <w:r w:rsidRPr="003743E8">
              <w:rPr>
                <w:rFonts w:ascii="GHEA Grapalat" w:hAnsi="GHEA Grapalat" w:cs="Sylfaen"/>
                <w:bCs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743E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աշխատանքներ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AF9992C" w:rsidR="00117549" w:rsidRPr="003743E8" w:rsidRDefault="00117549" w:rsidP="00117549">
            <w:pPr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proofErr w:type="spellStart"/>
            <w:r w:rsidRPr="003743E8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դրամ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0476204E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3743E8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42C1F26E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3743E8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AD88F1" w14:textId="257E323D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3743E8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6B7A36" w14:textId="3D9BA741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3743E8">
              <w:rPr>
                <w:rFonts w:asciiTheme="minorHAnsi" w:hAnsiTheme="minorHAnsi"/>
                <w:bCs/>
                <w:sz w:val="18"/>
                <w:szCs w:val="18"/>
              </w:rPr>
              <w:t>26 419 150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C62B3" w14:textId="7F13FB11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3743E8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&lt;&lt;</w:t>
            </w:r>
            <w:r w:rsidRPr="003743E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ՀՀ Վայոց ձորի մարզի Արենի համայնքի Արփի բնակավայրում խաղահրապարակ-զբոսայգու կառուց</w:t>
            </w:r>
            <w:proofErr w:type="spellStart"/>
            <w:r w:rsidRPr="003743E8">
              <w:rPr>
                <w:rFonts w:ascii="GHEA Grapalat" w:hAnsi="GHEA Grapalat"/>
                <w:bCs/>
                <w:iCs/>
                <w:sz w:val="18"/>
                <w:szCs w:val="18"/>
                <w:lang w:val="ru-RU"/>
              </w:rPr>
              <w:t>ման</w:t>
            </w:r>
            <w:proofErr w:type="spellEnd"/>
            <w:r w:rsidRPr="003743E8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&gt;&gt;</w:t>
            </w:r>
            <w:r w:rsidRPr="003743E8">
              <w:rPr>
                <w:rFonts w:ascii="GHEA Grapalat" w:hAnsi="GHEA Grapalat" w:cs="Sylfaen"/>
                <w:bCs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743E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աշխատանքներ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35B3F" w14:textId="3C93CA24" w:rsidR="00117549" w:rsidRPr="003743E8" w:rsidRDefault="00117549" w:rsidP="00117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3743E8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&lt;&lt;</w:t>
            </w:r>
            <w:r w:rsidRPr="003743E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ՀՀ Վայոց ձորի մարզի Արենի համայնքի Արփի բնակավայրում խաղահրապարակ-զբոսայգու կառուց</w:t>
            </w:r>
            <w:proofErr w:type="spellStart"/>
            <w:r w:rsidRPr="003743E8">
              <w:rPr>
                <w:rFonts w:ascii="GHEA Grapalat" w:hAnsi="GHEA Grapalat"/>
                <w:bCs/>
                <w:iCs/>
                <w:sz w:val="18"/>
                <w:szCs w:val="18"/>
                <w:lang w:val="ru-RU"/>
              </w:rPr>
              <w:t>ման</w:t>
            </w:r>
            <w:proofErr w:type="spellEnd"/>
            <w:r w:rsidRPr="003743E8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&gt;&gt;</w:t>
            </w:r>
            <w:r w:rsidRPr="003743E8">
              <w:rPr>
                <w:rFonts w:ascii="GHEA Grapalat" w:hAnsi="GHEA Grapalat" w:cs="Sylfaen"/>
                <w:bCs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743E8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աշխատանքներ</w:t>
            </w:r>
          </w:p>
        </w:tc>
      </w:tr>
      <w:tr w:rsidR="0022631D" w:rsidRPr="00861D0B" w14:paraId="67C0B0D8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2B1BD87" w14:textId="77777777" w:rsidR="0022631D" w:rsidRPr="001923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861D0B" w14:paraId="4CB0FDB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564AA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564AA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64AA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564AA4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22631D" w:rsidRPr="00564AA4" w:rsidRDefault="008543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կնքվելու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"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"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</w:t>
            </w:r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15-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6-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այսինքն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:</w:t>
            </w:r>
          </w:p>
        </w:tc>
      </w:tr>
      <w:tr w:rsidR="0022631D" w:rsidRPr="00861D0B" w14:paraId="32583D83" w14:textId="77777777" w:rsidTr="00A706C9">
        <w:trPr>
          <w:trHeight w:val="3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564A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A81CC9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64AA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12CFCAB5" w:rsidR="0022631D" w:rsidRPr="00A81CC9" w:rsidRDefault="006715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17</w:t>
            </w:r>
            <w:r w:rsidR="00BA292D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</w:t>
            </w:r>
            <w:r w:rsidR="001352FD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</w:t>
            </w:r>
            <w:r w:rsidR="00BA292D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</w:t>
            </w:r>
            <w:r w:rsidR="00191F1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7E145D36" w14:textId="77777777" w:rsidTr="00AE1A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48A03E98" w:rsidR="0022631D" w:rsidRPr="00AE1A9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A81CC9" w14:paraId="60E24753" w14:textId="77777777" w:rsidTr="00AE1A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5CB12BB" w14:textId="77777777" w:rsidTr="00AE1A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5FA77C39" w14:textId="77777777" w:rsidTr="00AE1A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8F0FD5" w14:textId="77777777" w:rsidTr="00AE1A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5EA0A4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E5F2D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D567E53" w14:textId="77777777" w:rsidTr="00E6673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7038" w:type="dxa"/>
            <w:gridSpan w:val="19"/>
            <w:shd w:val="clear" w:color="auto" w:fill="auto"/>
            <w:vAlign w:val="center"/>
          </w:tcPr>
          <w:p w14:paraId="14369749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1B34DDC3" w14:textId="77777777" w:rsidTr="00E6673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8"/>
            <w:shd w:val="clear" w:color="auto" w:fill="auto"/>
            <w:vAlign w:val="center"/>
          </w:tcPr>
          <w:p w14:paraId="2E931CC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22631D" w:rsidRPr="0096753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78FAB69D" w14:textId="4502C9FA" w:rsidR="0022631D" w:rsidRPr="0096753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71578" w:rsidRPr="00A81CC9" w14:paraId="2BF05015" w14:textId="77777777" w:rsidTr="003743E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671578" w:rsidRPr="004E4331" w:rsidRDefault="00671578" w:rsidP="006715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4E433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13FEEF39" w14:textId="69F3A9FD" w:rsidR="00671578" w:rsidRPr="004E4331" w:rsidRDefault="00671578" w:rsidP="006715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093CD2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&lt;&lt;</w:t>
            </w:r>
            <w:proofErr w:type="spellStart"/>
            <w:r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Արմանշին</w:t>
            </w:r>
            <w:proofErr w:type="spellEnd"/>
            <w:r w:rsidRPr="00093CD2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596" w:type="dxa"/>
            <w:gridSpan w:val="8"/>
            <w:shd w:val="clear" w:color="auto" w:fill="auto"/>
          </w:tcPr>
          <w:p w14:paraId="362C2B42" w14:textId="552BE005" w:rsidR="00671578" w:rsidRPr="004E4331" w:rsidRDefault="00671578" w:rsidP="006715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22 000 000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845CBD" w14:textId="0F3DFC0E" w:rsidR="00671578" w:rsidRPr="004E4331" w:rsidRDefault="00671578" w:rsidP="006715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4 400 000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57FB6F90" w:rsidR="00671578" w:rsidRPr="004E4331" w:rsidRDefault="00671578" w:rsidP="006715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26 400 000</w:t>
            </w:r>
          </w:p>
        </w:tc>
      </w:tr>
      <w:tr w:rsidR="0022631D" w:rsidRPr="00A81CC9" w14:paraId="3A1F8C41" w14:textId="77777777" w:rsidTr="00A67159">
        <w:trPr>
          <w:trHeight w:val="13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FE2C7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E17783A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14:paraId="54B6B776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14:paraId="2A318582" w14:textId="77777777" w:rsidTr="006573F6">
        <w:trPr>
          <w:trHeight w:val="4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AE073E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1559E85" w:rsidR="0022631D" w:rsidRPr="00434E2D" w:rsidRDefault="00434E2D" w:rsidP="0022631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093CD2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</w:t>
            </w:r>
            <w:r w:rsidRPr="007F6BDB">
              <w:rPr>
                <w:rFonts w:asciiTheme="minorHAnsi" w:hAnsiTheme="minorHAnsi"/>
                <w:sz w:val="16"/>
                <w:szCs w:val="16"/>
                <w:lang w:val="af-ZA"/>
              </w:rPr>
              <w:t>24</w:t>
            </w:r>
            <w:r w:rsidRPr="00093CD2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093CD2">
              <w:rPr>
                <w:rFonts w:asciiTheme="minorHAnsi" w:hAnsiTheme="minorHAnsi"/>
                <w:sz w:val="16"/>
                <w:szCs w:val="16"/>
                <w:lang w:val="pt-BR"/>
              </w:rPr>
              <w:t>0</w:t>
            </w:r>
            <w:r w:rsidRPr="007F6BDB">
              <w:rPr>
                <w:rFonts w:asciiTheme="minorHAnsi" w:hAnsiTheme="minorHAnsi"/>
                <w:sz w:val="16"/>
                <w:szCs w:val="16"/>
                <w:lang w:val="af-ZA"/>
              </w:rPr>
              <w:t>9</w:t>
            </w:r>
            <w:r w:rsidRPr="00093CD2">
              <w:rPr>
                <w:rFonts w:ascii="Arial LatArm" w:hAnsi="Arial LatArm"/>
                <w:sz w:val="16"/>
                <w:szCs w:val="16"/>
                <w:lang w:val="pt-BR"/>
              </w:rPr>
              <w:t>.202</w:t>
            </w:r>
            <w:r w:rsidRPr="00093CD2">
              <w:rPr>
                <w:rFonts w:asciiTheme="minorHAnsi" w:hAnsiTheme="minorHAnsi"/>
                <w:sz w:val="16"/>
                <w:szCs w:val="16"/>
                <w:lang w:val="pt-BR"/>
              </w:rPr>
              <w:t>5</w:t>
            </w:r>
            <w:r w:rsidRPr="00093CD2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093CD2">
              <w:rPr>
                <w:rFonts w:ascii="Arial" w:hAnsi="Arial" w:cs="Arial"/>
                <w:sz w:val="16"/>
                <w:szCs w:val="16"/>
                <w:lang w:val="pt-BR"/>
              </w:rPr>
              <w:t>թ</w:t>
            </w:r>
            <w:r w:rsidRPr="00967536">
              <w:rPr>
                <w:rFonts w:asciiTheme="minorHAnsi" w:hAnsiTheme="minorHAns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</w:p>
        </w:tc>
      </w:tr>
      <w:tr w:rsidR="0022631D" w:rsidRPr="00A81CC9" w14:paraId="580211C2" w14:textId="77777777" w:rsidTr="00C76A61">
        <w:trPr>
          <w:trHeight w:val="399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2FCB845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14:paraId="54DCB6E2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358DBD18" w:rsidR="0022631D" w:rsidRPr="00927A2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0CAF20E6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8162F0F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2D6696EF" w:rsidR="0022631D" w:rsidRPr="00434E2D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434E2D" w:rsidRPr="00434E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03,10,2025 </w:t>
            </w:r>
            <w:r w:rsidR="00434E2D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թ</w:t>
            </w:r>
            <w:r w:rsidR="00434E2D" w:rsidRPr="00434E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</w:p>
        </w:tc>
      </w:tr>
      <w:tr w:rsidR="0022631D" w:rsidRPr="00A81CC9" w14:paraId="41BE81C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689B475E" w:rsidR="0022631D" w:rsidRPr="00434E2D" w:rsidRDefault="00434E2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10,10,2025 թ. </w:t>
            </w:r>
          </w:p>
        </w:tc>
      </w:tr>
      <w:tr w:rsidR="0022631D" w:rsidRPr="00A81CC9" w14:paraId="12F42D7D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5FCAC4B4" w:rsidR="0022631D" w:rsidRPr="0054259A" w:rsidRDefault="00434E2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34E2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10,10,2025 թ.</w:t>
            </w:r>
          </w:p>
        </w:tc>
      </w:tr>
      <w:tr w:rsidR="0022631D" w:rsidRPr="00A81CC9" w14:paraId="584313A1" w14:textId="77777777" w:rsidTr="00A67159">
        <w:trPr>
          <w:trHeight w:val="122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C81BD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6"/>
            <w:shd w:val="clear" w:color="auto" w:fill="auto"/>
            <w:vAlign w:val="center"/>
          </w:tcPr>
          <w:p w14:paraId="3FBC86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14:paraId="309A4291" w14:textId="77777777" w:rsidTr="000255B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5B57A5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02680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14:paraId="2D5AEA46" w14:textId="77777777" w:rsidTr="000255B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285204D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6D90C4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5CF9A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14:paraId="35FF098D" w14:textId="77777777" w:rsidTr="000255B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255B4" w:rsidRPr="00A81CC9" w14:paraId="6A2EE72B" w14:textId="77777777" w:rsidTr="000255B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4EBE87FD" w:rsidR="000255B4" w:rsidRPr="00431A06" w:rsidRDefault="00EF43D2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6DA3F80" w14:textId="32125052" w:rsidR="000255B4" w:rsidRPr="00A81CC9" w:rsidRDefault="00D44FFA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4FF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&lt;&lt;Արմանշին&gt;&gt; ՍՊԸ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5DC30437" w14:textId="17780C49" w:rsidR="000255B4" w:rsidRPr="000255B4" w:rsidRDefault="00D44FFA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</w:t>
            </w:r>
            <w:r w:rsidRPr="00D44FFA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ԱՐԵՆԻՀ-ԳՀԱՇՁԲ-08/2</w:t>
            </w:r>
            <w:r w:rsidR="007378F5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&gt;&gt;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D858F58" w14:textId="57DB4F4C" w:rsidR="000255B4" w:rsidRPr="004C4EC8" w:rsidRDefault="00D44FFA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10,10,2025 թ.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7D8E2E2" w14:textId="63E6A6B9" w:rsidR="000255B4" w:rsidRPr="00560FB6" w:rsidRDefault="009040B8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</w:pP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Պայմանագրին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կից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համաձայնագրի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կնքման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օրվանից</w:t>
            </w:r>
            <w:proofErr w:type="spellEnd"/>
            <w:proofErr w:type="gram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1</w:t>
            </w:r>
            <w:r w:rsidR="00D44FFA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10</w:t>
            </w:r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մեկ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հարյուր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r w:rsidR="00D44FFA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D44FFA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տաս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/ 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օրացուցային</w:t>
            </w:r>
            <w:proofErr w:type="spellEnd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040B8"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  <w:t>օր</w:t>
            </w:r>
            <w:proofErr w:type="spellEnd"/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0255B4" w:rsidRPr="002D264D" w:rsidRDefault="000255B4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01DC03B" w14:textId="09C8558F" w:rsidR="000255B4" w:rsidRPr="004C4EC8" w:rsidRDefault="00EF43D2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187AFF77" w:rsidR="000255B4" w:rsidRPr="004879C8" w:rsidRDefault="00D44FFA" w:rsidP="000255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D44FFA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26 400 000</w:t>
            </w:r>
          </w:p>
        </w:tc>
      </w:tr>
      <w:tr w:rsidR="0022631D" w:rsidRPr="00A81CC9" w14:paraId="732D7CE1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11793D33" w14:textId="010CA8B7" w:rsidR="0022631D" w:rsidRPr="00A81CC9" w:rsidRDefault="0072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24F5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</w:t>
            </w:r>
            <w:r w:rsidR="00AF2C5B" w:rsidRPr="00AF2C5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անվանումը և 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2F9BCE08" w14:textId="77777777" w:rsidTr="00332AB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A3B70" w:rsidRPr="00DE16B2" w14:paraId="57C33244" w14:textId="77777777" w:rsidTr="00332ABE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BCE12" w14:textId="1611B520" w:rsidR="003A3B70" w:rsidRPr="00321590" w:rsidRDefault="00EF43D2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D2EC1" w14:textId="549EA002" w:rsidR="003A3B70" w:rsidRPr="00321590" w:rsidRDefault="002259E9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2259E9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&lt;&lt;Արմանշին&gt;&gt; ՍՊԸ</w:t>
            </w:r>
          </w:p>
        </w:tc>
        <w:tc>
          <w:tcPr>
            <w:tcW w:w="32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6A791" w14:textId="77777777" w:rsidR="003A3B70" w:rsidRDefault="002259E9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2259E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Ք. Եղեգնաձոր, Բաղդասարյան 14</w:t>
            </w:r>
          </w:p>
          <w:p w14:paraId="3DD76E04" w14:textId="1BE73E3E" w:rsidR="002259E9" w:rsidRPr="00DE16B2" w:rsidRDefault="002259E9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Հեռ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. 077074669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07CA1EF0" w:rsidR="003A3B70" w:rsidRPr="00321590" w:rsidRDefault="002259E9" w:rsidP="003A3B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2259E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armankhachatryan883@gmail.com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78A6FFA" w:rsidR="003A3B70" w:rsidRPr="00990A12" w:rsidRDefault="002259E9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220453331757000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5313F29B" w:rsidR="003A3B70" w:rsidRPr="00990A12" w:rsidRDefault="002259E9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08915086</w:t>
            </w:r>
          </w:p>
        </w:tc>
      </w:tr>
      <w:tr w:rsidR="0022631D" w:rsidRPr="00DE16B2" w14:paraId="329B2CB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47C60D3" w14:textId="77777777" w:rsidR="0022631D" w:rsidRPr="00BF1D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1CC9" w14:paraId="4684C84B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196F01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69F71EB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6F04C96C" w14:textId="77777777"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5B02ED2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300E80E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D36304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C8A42BB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1F2ED534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2B5FA7D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A577C00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93D101A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81CC9" w14:paraId="178C408B" w14:textId="77777777" w:rsidTr="006573F6">
        <w:trPr>
          <w:trHeight w:val="10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DE1E7E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AFA19FB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505295E" w14:textId="77777777" w:rsidTr="00696228">
        <w:trPr>
          <w:trHeight w:val="46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7C36B4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43BCC87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6E5481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AA7B9D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1B65165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355129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CC7ADDC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4A529AAE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36590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DDF1105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5E04EC03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14:paraId="2D2CEA82" w14:textId="77777777" w:rsidTr="00DC4665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3FEF87F7" w14:textId="77777777" w:rsidTr="00DC4665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2F2D45AF" w14:textId="7DA86DC3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Վարդանյան</w:t>
            </w:r>
            <w:proofErr w:type="spellEnd"/>
          </w:p>
        </w:tc>
        <w:tc>
          <w:tcPr>
            <w:tcW w:w="3850" w:type="dxa"/>
            <w:gridSpan w:val="13"/>
            <w:shd w:val="clear" w:color="auto" w:fill="auto"/>
            <w:vAlign w:val="center"/>
          </w:tcPr>
          <w:p w14:paraId="76D716D9" w14:textId="18E9ADED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00E71" w14:textId="77777777" w:rsidR="003A1C08" w:rsidRDefault="003A1C08" w:rsidP="0022631D">
      <w:pPr>
        <w:spacing w:before="0" w:after="0"/>
      </w:pPr>
      <w:r>
        <w:separator/>
      </w:r>
    </w:p>
  </w:endnote>
  <w:endnote w:type="continuationSeparator" w:id="0">
    <w:p w14:paraId="21C81489" w14:textId="77777777" w:rsidR="003A1C08" w:rsidRDefault="003A1C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93755" w14:textId="77777777" w:rsidR="003A1C08" w:rsidRDefault="003A1C08" w:rsidP="0022631D">
      <w:pPr>
        <w:spacing w:before="0" w:after="0"/>
      </w:pPr>
      <w:r>
        <w:separator/>
      </w:r>
    </w:p>
  </w:footnote>
  <w:footnote w:type="continuationSeparator" w:id="0">
    <w:p w14:paraId="63823E00" w14:textId="77777777" w:rsidR="003A1C08" w:rsidRDefault="003A1C08" w:rsidP="0022631D">
      <w:pPr>
        <w:spacing w:before="0" w:after="0"/>
      </w:pPr>
      <w:r>
        <w:continuationSeparator/>
      </w:r>
    </w:p>
  </w:footnote>
  <w:footnote w:id="1">
    <w:p w14:paraId="4C1A4B2A" w14:textId="77777777" w:rsidR="003743E8" w:rsidRPr="00541A77" w:rsidRDefault="003743E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3743E8" w:rsidRPr="002D0BF6" w:rsidRDefault="003743E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3743E8" w:rsidRPr="002D0BF6" w:rsidRDefault="003743E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3743E8" w:rsidRPr="002D0BF6" w:rsidRDefault="003743E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3743E8" w:rsidRPr="002D0BF6" w:rsidRDefault="003743E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3743E8" w:rsidRPr="00871366" w:rsidRDefault="003743E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3743E8" w:rsidRPr="002D0BF6" w:rsidRDefault="003743E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3743E8" w:rsidRPr="0078682E" w:rsidRDefault="003743E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3743E8" w:rsidRPr="0078682E" w:rsidRDefault="003743E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3743E8" w:rsidRPr="00005B9C" w:rsidRDefault="003743E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12170"/>
    <w:rsid w:val="00012402"/>
    <w:rsid w:val="000125C6"/>
    <w:rsid w:val="000255B4"/>
    <w:rsid w:val="000308E5"/>
    <w:rsid w:val="000323F7"/>
    <w:rsid w:val="00044EA8"/>
    <w:rsid w:val="00046CCF"/>
    <w:rsid w:val="00051ECE"/>
    <w:rsid w:val="0007090E"/>
    <w:rsid w:val="00073D66"/>
    <w:rsid w:val="000B0199"/>
    <w:rsid w:val="000B591D"/>
    <w:rsid w:val="000E0164"/>
    <w:rsid w:val="000E4FF1"/>
    <w:rsid w:val="000F376D"/>
    <w:rsid w:val="00102094"/>
    <w:rsid w:val="001021B0"/>
    <w:rsid w:val="00117549"/>
    <w:rsid w:val="0012143A"/>
    <w:rsid w:val="001352FD"/>
    <w:rsid w:val="0018422F"/>
    <w:rsid w:val="00191F17"/>
    <w:rsid w:val="00192318"/>
    <w:rsid w:val="001A1999"/>
    <w:rsid w:val="001C1BE1"/>
    <w:rsid w:val="001D3B9E"/>
    <w:rsid w:val="001E0091"/>
    <w:rsid w:val="00214339"/>
    <w:rsid w:val="002259E9"/>
    <w:rsid w:val="0022631D"/>
    <w:rsid w:val="00227765"/>
    <w:rsid w:val="00295B92"/>
    <w:rsid w:val="002D264D"/>
    <w:rsid w:val="002E4E6F"/>
    <w:rsid w:val="002F16CC"/>
    <w:rsid w:val="002F1FEB"/>
    <w:rsid w:val="00321590"/>
    <w:rsid w:val="00332ABE"/>
    <w:rsid w:val="00346032"/>
    <w:rsid w:val="0035420B"/>
    <w:rsid w:val="00371B1D"/>
    <w:rsid w:val="003743E8"/>
    <w:rsid w:val="003A1C08"/>
    <w:rsid w:val="003A3B70"/>
    <w:rsid w:val="003B2758"/>
    <w:rsid w:val="003E3D40"/>
    <w:rsid w:val="003E4A53"/>
    <w:rsid w:val="003E6978"/>
    <w:rsid w:val="00411C3C"/>
    <w:rsid w:val="00431A06"/>
    <w:rsid w:val="00433E3C"/>
    <w:rsid w:val="00434E2D"/>
    <w:rsid w:val="00472069"/>
    <w:rsid w:val="00474C2F"/>
    <w:rsid w:val="004764CD"/>
    <w:rsid w:val="004875E0"/>
    <w:rsid w:val="004879C8"/>
    <w:rsid w:val="004C4EC8"/>
    <w:rsid w:val="004D078F"/>
    <w:rsid w:val="004E376E"/>
    <w:rsid w:val="004E4331"/>
    <w:rsid w:val="00503BCC"/>
    <w:rsid w:val="0050566B"/>
    <w:rsid w:val="00511F43"/>
    <w:rsid w:val="00514A67"/>
    <w:rsid w:val="0054259A"/>
    <w:rsid w:val="00546023"/>
    <w:rsid w:val="00552460"/>
    <w:rsid w:val="00560FB6"/>
    <w:rsid w:val="00564AA4"/>
    <w:rsid w:val="00564B56"/>
    <w:rsid w:val="00566C0F"/>
    <w:rsid w:val="00571490"/>
    <w:rsid w:val="005737F9"/>
    <w:rsid w:val="00577FE7"/>
    <w:rsid w:val="005A00D3"/>
    <w:rsid w:val="005D5FBD"/>
    <w:rsid w:val="00606DD1"/>
    <w:rsid w:val="00607C9A"/>
    <w:rsid w:val="00646760"/>
    <w:rsid w:val="00646E5B"/>
    <w:rsid w:val="006573F6"/>
    <w:rsid w:val="00671578"/>
    <w:rsid w:val="00674CF3"/>
    <w:rsid w:val="00690ECB"/>
    <w:rsid w:val="00695741"/>
    <w:rsid w:val="00696228"/>
    <w:rsid w:val="006A38B4"/>
    <w:rsid w:val="006B2E21"/>
    <w:rsid w:val="006C0266"/>
    <w:rsid w:val="006E0D92"/>
    <w:rsid w:val="006E1A83"/>
    <w:rsid w:val="006F2779"/>
    <w:rsid w:val="007060FC"/>
    <w:rsid w:val="00724F5A"/>
    <w:rsid w:val="007378F5"/>
    <w:rsid w:val="00770463"/>
    <w:rsid w:val="007732E7"/>
    <w:rsid w:val="0078682E"/>
    <w:rsid w:val="007E115D"/>
    <w:rsid w:val="007E2335"/>
    <w:rsid w:val="007E2DD0"/>
    <w:rsid w:val="00802B48"/>
    <w:rsid w:val="0081420B"/>
    <w:rsid w:val="00816305"/>
    <w:rsid w:val="00816569"/>
    <w:rsid w:val="00823E07"/>
    <w:rsid w:val="008506FA"/>
    <w:rsid w:val="00854347"/>
    <w:rsid w:val="00861D0B"/>
    <w:rsid w:val="00895B11"/>
    <w:rsid w:val="008A7224"/>
    <w:rsid w:val="008C4E62"/>
    <w:rsid w:val="008C7D47"/>
    <w:rsid w:val="008D544B"/>
    <w:rsid w:val="008E493A"/>
    <w:rsid w:val="009040B8"/>
    <w:rsid w:val="0090440F"/>
    <w:rsid w:val="00910373"/>
    <w:rsid w:val="0091649C"/>
    <w:rsid w:val="00922230"/>
    <w:rsid w:val="00927A2E"/>
    <w:rsid w:val="009323C6"/>
    <w:rsid w:val="0095792C"/>
    <w:rsid w:val="00964B57"/>
    <w:rsid w:val="00967536"/>
    <w:rsid w:val="00990A12"/>
    <w:rsid w:val="009B1CCE"/>
    <w:rsid w:val="009C1DC5"/>
    <w:rsid w:val="009C5E0F"/>
    <w:rsid w:val="009D60E1"/>
    <w:rsid w:val="009E75FF"/>
    <w:rsid w:val="00A138F3"/>
    <w:rsid w:val="00A16915"/>
    <w:rsid w:val="00A306F5"/>
    <w:rsid w:val="00A31820"/>
    <w:rsid w:val="00A36328"/>
    <w:rsid w:val="00A67159"/>
    <w:rsid w:val="00A706C9"/>
    <w:rsid w:val="00A70CC1"/>
    <w:rsid w:val="00A71DA6"/>
    <w:rsid w:val="00A81CC9"/>
    <w:rsid w:val="00A91ACB"/>
    <w:rsid w:val="00AA32E4"/>
    <w:rsid w:val="00AD07B9"/>
    <w:rsid w:val="00AD59DC"/>
    <w:rsid w:val="00AE1A94"/>
    <w:rsid w:val="00AF2C5B"/>
    <w:rsid w:val="00B7040D"/>
    <w:rsid w:val="00B75762"/>
    <w:rsid w:val="00B91DE2"/>
    <w:rsid w:val="00B94EA2"/>
    <w:rsid w:val="00BA03B0"/>
    <w:rsid w:val="00BA2067"/>
    <w:rsid w:val="00BA292D"/>
    <w:rsid w:val="00BB0A93"/>
    <w:rsid w:val="00BD3D4E"/>
    <w:rsid w:val="00BF1465"/>
    <w:rsid w:val="00BF1DB7"/>
    <w:rsid w:val="00BF4745"/>
    <w:rsid w:val="00C122F0"/>
    <w:rsid w:val="00C410B5"/>
    <w:rsid w:val="00C51D37"/>
    <w:rsid w:val="00C66675"/>
    <w:rsid w:val="00C700CD"/>
    <w:rsid w:val="00C71CFE"/>
    <w:rsid w:val="00C76A61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44FFA"/>
    <w:rsid w:val="00D808EC"/>
    <w:rsid w:val="00D80C64"/>
    <w:rsid w:val="00DA36D6"/>
    <w:rsid w:val="00DC4665"/>
    <w:rsid w:val="00DE06F1"/>
    <w:rsid w:val="00DE16B2"/>
    <w:rsid w:val="00E243EA"/>
    <w:rsid w:val="00E27555"/>
    <w:rsid w:val="00E33A25"/>
    <w:rsid w:val="00E4188B"/>
    <w:rsid w:val="00E42D96"/>
    <w:rsid w:val="00E460FC"/>
    <w:rsid w:val="00E54C4D"/>
    <w:rsid w:val="00E56328"/>
    <w:rsid w:val="00E6673E"/>
    <w:rsid w:val="00E6730B"/>
    <w:rsid w:val="00E67942"/>
    <w:rsid w:val="00E76933"/>
    <w:rsid w:val="00E86B63"/>
    <w:rsid w:val="00E92AA3"/>
    <w:rsid w:val="00EA01A2"/>
    <w:rsid w:val="00EA568C"/>
    <w:rsid w:val="00EA767F"/>
    <w:rsid w:val="00EB59EE"/>
    <w:rsid w:val="00EE0988"/>
    <w:rsid w:val="00EF16D0"/>
    <w:rsid w:val="00EF43D2"/>
    <w:rsid w:val="00F07F8C"/>
    <w:rsid w:val="00F10AFE"/>
    <w:rsid w:val="00F176A8"/>
    <w:rsid w:val="00F31004"/>
    <w:rsid w:val="00F47D7A"/>
    <w:rsid w:val="00F64167"/>
    <w:rsid w:val="00F6673B"/>
    <w:rsid w:val="00F77AAD"/>
    <w:rsid w:val="00F85BA9"/>
    <w:rsid w:val="00F916C4"/>
    <w:rsid w:val="00F928C8"/>
    <w:rsid w:val="00F93197"/>
    <w:rsid w:val="00FB097B"/>
    <w:rsid w:val="00FD0FEA"/>
    <w:rsid w:val="00FD3778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95</cp:revision>
  <cp:lastPrinted>2025-10-14T12:36:00Z</cp:lastPrinted>
  <dcterms:created xsi:type="dcterms:W3CDTF">2021-06-28T12:08:00Z</dcterms:created>
  <dcterms:modified xsi:type="dcterms:W3CDTF">2025-10-14T12:37:00Z</dcterms:modified>
</cp:coreProperties>
</file>